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4CC7B694" w:rsidR="00BC7895" w:rsidRDefault="00A4202C"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77C9C2BD">
                <wp:simplePos x="0" y="0"/>
                <wp:positionH relativeFrom="column">
                  <wp:posOffset>494665</wp:posOffset>
                </wp:positionH>
                <wp:positionV relativeFrom="paragraph">
                  <wp:posOffset>255270</wp:posOffset>
                </wp:positionV>
                <wp:extent cx="1170135"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70135" cy="304800"/>
                        </a:xfrm>
                        <a:prstGeom prst="rect">
                          <a:avLst/>
                        </a:prstGeom>
                        <a:solidFill>
                          <a:srgbClr val="CACACA">
                            <a:alpha val="19938"/>
                          </a:srgbClr>
                        </a:solidFill>
                        <a:ln w="6350">
                          <a:noFill/>
                        </a:ln>
                      </wps:spPr>
                      <wps:txbx>
                        <w:txbxContent>
                          <w:p w14:paraId="518A3CA9" w14:textId="2A5F8034" w:rsidR="00601965" w:rsidRPr="00601965" w:rsidRDefault="00601965" w:rsidP="00601965">
                            <w:pPr>
                              <w:jc w:val="right"/>
                              <w:rPr>
                                <w:b/>
                                <w:bCs/>
                                <w:color w:val="606060"/>
                                <w:sz w:val="28"/>
                                <w:szCs w:val="24"/>
                              </w:rPr>
                            </w:pPr>
                            <w:r w:rsidRPr="00601965">
                              <w:rPr>
                                <w:b/>
                                <w:bCs/>
                                <w:color w:val="606060"/>
                                <w:sz w:val="28"/>
                                <w:szCs w:val="24"/>
                              </w:rPr>
                              <w:t>Handout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8.95pt;margin-top:20.1pt;width:92.1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" fillcolor="#cacaca" stroked="f" strokeweight=".5pt">
                <v:fill opacity="13107f"/>
                <v:textbox>
                  <w:txbxContent>
                    <w:p w14:paraId="518A3CA9" w14:textId="2A5F8034" w:rsidR="00601965" w:rsidRPr="00601965" w:rsidRDefault="00601965" w:rsidP="00601965">
                      <w:pPr>
                        <w:jc w:val="right"/>
                        <w:rPr>
                          <w:b/>
                          <w:bCs/>
                          <w:color w:val="606060"/>
                          <w:sz w:val="28"/>
                          <w:szCs w:val="24"/>
                        </w:rPr>
                      </w:pPr>
                      <w:r w:rsidRPr="00601965">
                        <w:rPr>
                          <w:b/>
                          <w:bCs/>
                          <w:color w:val="606060"/>
                          <w:sz w:val="28"/>
                          <w:szCs w:val="24"/>
                        </w:rPr>
                        <w:t>Handout B</w:t>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3B4AE1B8">
            <wp:simplePos x="0" y="0"/>
            <wp:positionH relativeFrom="column">
              <wp:posOffset>-38100</wp:posOffset>
            </wp:positionH>
            <wp:positionV relativeFrom="paragraph">
              <wp:posOffset>136480</wp:posOffset>
            </wp:positionV>
            <wp:extent cx="622300" cy="48645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627909" cy="490840"/>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18965A94" w14:textId="48B15A42" w:rsidR="0068010D" w:rsidRDefault="0068010D" w:rsidP="0068010D">
      <w:pPr>
        <w:spacing w:after="0" w:line="276" w:lineRule="auto"/>
        <w:rPr>
          <w:rFonts w:cs="Arial"/>
          <w:b/>
          <w:bCs/>
          <w:szCs w:val="24"/>
        </w:rPr>
      </w:pPr>
      <w:r w:rsidRPr="00E702B0">
        <w:rPr>
          <w:rStyle w:val="Heading1Char"/>
        </w:rPr>
        <w:t>Barriers and benefits</w:t>
      </w:r>
      <w:r w:rsidRPr="00844CAF">
        <w:rPr>
          <w:rFonts w:cs="Arial"/>
          <w:b/>
          <w:bCs/>
          <w:sz w:val="28"/>
          <w:szCs w:val="28"/>
        </w:rPr>
        <w:br/>
      </w:r>
      <w:bookmarkStart w:id="0" w:name="_Hlk103865316"/>
      <w:bookmarkStart w:id="1" w:name="_Hlk97994683"/>
    </w:p>
    <w:p w14:paraId="5B1D9F57" w14:textId="6A90471C" w:rsidR="0068010D" w:rsidRPr="00E702B0" w:rsidRDefault="0068010D" w:rsidP="0068010D">
      <w:pPr>
        <w:spacing w:after="0" w:line="276" w:lineRule="auto"/>
        <w:rPr>
          <w:rFonts w:cs="Arial"/>
          <w:b/>
          <w:bCs/>
          <w:color w:val="606060"/>
          <w:sz w:val="40"/>
          <w:szCs w:val="40"/>
        </w:rPr>
      </w:pPr>
      <w:r w:rsidRPr="00E702B0">
        <w:rPr>
          <w:rFonts w:cs="Arial"/>
          <w:b/>
          <w:bCs/>
          <w:color w:val="606060"/>
          <w:sz w:val="36"/>
          <w:szCs w:val="36"/>
        </w:rPr>
        <w:t>Indi</w:t>
      </w:r>
      <w:r w:rsidRPr="00E702B0">
        <w:rPr>
          <w:rFonts w:cs="Arial"/>
          <w:b/>
          <w:bCs/>
          <w:color w:val="606060"/>
          <w:sz w:val="40"/>
          <w:szCs w:val="40"/>
        </w:rPr>
        <w:t>vidual’s disability or condition</w:t>
      </w:r>
    </w:p>
    <w:p w14:paraId="1A76BE50" w14:textId="77777777" w:rsidR="0068010D" w:rsidRPr="00600946" w:rsidRDefault="0068010D" w:rsidP="0068010D">
      <w:pPr>
        <w:spacing w:after="0" w:line="276" w:lineRule="auto"/>
        <w:rPr>
          <w:rFonts w:cs="Arial"/>
          <w:b/>
          <w:bCs/>
          <w:szCs w:val="24"/>
        </w:rPr>
      </w:pPr>
    </w:p>
    <w:p w14:paraId="586FBBDB" w14:textId="7A6B78C2" w:rsidR="0068010D" w:rsidRPr="00E702B0" w:rsidRDefault="0068010D" w:rsidP="00CE0CB4">
      <w:pPr>
        <w:spacing w:after="0" w:line="276" w:lineRule="auto"/>
        <w:rPr>
          <w:rFonts w:cs="Arial"/>
          <w:color w:val="0098A0"/>
          <w:sz w:val="28"/>
          <w:szCs w:val="28"/>
        </w:rPr>
      </w:pPr>
      <w:r w:rsidRPr="00E702B0">
        <w:rPr>
          <w:rFonts w:cs="Arial"/>
          <w:b/>
          <w:bCs/>
          <w:color w:val="0098A0"/>
          <w:sz w:val="28"/>
          <w:szCs w:val="28"/>
        </w:rPr>
        <w:t>Mental capacity</w:t>
      </w:r>
    </w:p>
    <w:p w14:paraId="5186B49F" w14:textId="42E5C25D" w:rsidR="0068010D" w:rsidRDefault="0068010D" w:rsidP="00CE0CB4">
      <w:pPr>
        <w:spacing w:line="276" w:lineRule="auto"/>
      </w:pPr>
      <w:r w:rsidRPr="00EE4E0C">
        <w:t xml:space="preserve">Capacity to consent to sexual relations is often raised as </w:t>
      </w:r>
      <w:r>
        <w:t xml:space="preserve">a </w:t>
      </w:r>
      <w:r w:rsidRPr="00EE4E0C">
        <w:t xml:space="preserve">barrier to developing relationships. If someone is unable to consent to sexual relations, restrictions may need to be placed on the relationship. However, this does not mean they are unable to enjoy any form of intimacy or have a relationship. Research shows support staff can be over-cautious in this area. </w:t>
      </w:r>
    </w:p>
    <w:p w14:paraId="37CC1F77" w14:textId="77777777" w:rsidR="0068010D" w:rsidRDefault="0068010D" w:rsidP="0068010D">
      <w:pPr>
        <w:spacing w:after="0" w:line="276" w:lineRule="auto"/>
        <w:rPr>
          <w:rFonts w:cs="Arial"/>
          <w:szCs w:val="24"/>
        </w:rPr>
      </w:pPr>
    </w:p>
    <w:p w14:paraId="2CDFDAB2" w14:textId="66425703" w:rsidR="0068010D" w:rsidRPr="00E702B0" w:rsidRDefault="0068010D" w:rsidP="00CE0CB4">
      <w:pPr>
        <w:pStyle w:val="Heading3"/>
        <w:spacing w:line="276" w:lineRule="auto"/>
      </w:pPr>
      <w:r w:rsidRPr="00E702B0">
        <w:t>Lack of relationship education and skills</w:t>
      </w:r>
    </w:p>
    <w:p w14:paraId="22D59690" w14:textId="1CF205AA" w:rsidR="0068010D" w:rsidRDefault="0068010D" w:rsidP="00CE0CB4">
      <w:pPr>
        <w:spacing w:line="276" w:lineRule="auto"/>
      </w:pPr>
      <w:r w:rsidRPr="3CEE293F">
        <w:t>Research highlights how some people, in particular people with</w:t>
      </w:r>
      <w:r>
        <w:t xml:space="preserve"> a</w:t>
      </w:r>
      <w:r w:rsidRPr="3CEE293F">
        <w:t xml:space="preserve"> learning disabilit</w:t>
      </w:r>
      <w:r>
        <w:t>y</w:t>
      </w:r>
      <w:r w:rsidRPr="3CEE293F">
        <w:t xml:space="preserve"> and/or autism, may need support and education to learn the necessary skills to develop and maintain relationships. In many instances, social care staff may be required to help them to learn these skills as they would in other area</w:t>
      </w:r>
      <w:r>
        <w:t>s</w:t>
      </w:r>
      <w:r w:rsidRPr="3CEE293F">
        <w:t xml:space="preserve"> of support (such as travel or cooking). </w:t>
      </w:r>
    </w:p>
    <w:p w14:paraId="76FDD91E" w14:textId="5C58D627" w:rsidR="0068010D" w:rsidRDefault="0068010D" w:rsidP="00CE0CB4">
      <w:pPr>
        <w:spacing w:after="0" w:line="276" w:lineRule="auto"/>
        <w:rPr>
          <w:rFonts w:cs="Arial"/>
          <w:szCs w:val="24"/>
        </w:rPr>
      </w:pPr>
    </w:p>
    <w:p w14:paraId="037F46B1" w14:textId="2330C691" w:rsidR="0068010D" w:rsidRPr="00E702B0" w:rsidRDefault="0068010D" w:rsidP="00CE0CB4">
      <w:pPr>
        <w:pStyle w:val="Heading3"/>
        <w:spacing w:line="276" w:lineRule="auto"/>
      </w:pPr>
      <w:bookmarkStart w:id="2" w:name="_Hlk103865406"/>
      <w:bookmarkEnd w:id="0"/>
      <w:r w:rsidRPr="00E702B0">
        <w:t xml:space="preserve">Inability to travel </w:t>
      </w:r>
      <w:r w:rsidR="00765F0C">
        <w:t>or</w:t>
      </w:r>
      <w:r w:rsidRPr="00E702B0">
        <w:t xml:space="preserve"> communicate independently</w:t>
      </w:r>
    </w:p>
    <w:p w14:paraId="44C7B244" w14:textId="5F23F8CA" w:rsidR="0068010D" w:rsidRDefault="0068010D" w:rsidP="00CE0CB4">
      <w:pPr>
        <w:spacing w:line="276" w:lineRule="auto"/>
      </w:pPr>
      <w:r w:rsidRPr="3CEE293F">
        <w:t>Research highlights the</w:t>
      </w:r>
      <w:r w:rsidRPr="3CEE293F">
        <w:rPr>
          <w:b/>
          <w:bCs/>
        </w:rPr>
        <w:t xml:space="preserve"> </w:t>
      </w:r>
      <w:r w:rsidRPr="3CEE293F">
        <w:t xml:space="preserve">vital role </w:t>
      </w:r>
      <w:r>
        <w:t>social care</w:t>
      </w:r>
      <w:r w:rsidRPr="3CEE293F">
        <w:t xml:space="preserve"> staff play in supporting people to engage in activities and go to places where they might meet a partner or see an existing partner. Research also shows people in existing relationships may need support to maintain a relationship. This might involve physical support to call </w:t>
      </w:r>
      <w:r>
        <w:t>or</w:t>
      </w:r>
      <w:r w:rsidRPr="3CEE293F">
        <w:t xml:space="preserve"> text a partner or to invite them over. If this is not maintained, relationships often cease to develop or continue. </w:t>
      </w:r>
    </w:p>
    <w:p w14:paraId="3C0EBCDC" w14:textId="77777777" w:rsidR="0068010D" w:rsidRPr="00AD2EFA" w:rsidRDefault="0068010D" w:rsidP="00CE0CB4">
      <w:pPr>
        <w:spacing w:after="0" w:line="276" w:lineRule="auto"/>
        <w:rPr>
          <w:rFonts w:cs="Arial"/>
          <w:szCs w:val="24"/>
        </w:rPr>
      </w:pPr>
    </w:p>
    <w:p w14:paraId="1C701BD1" w14:textId="72FCF7D5" w:rsidR="0068010D" w:rsidRPr="00E702B0" w:rsidRDefault="0068010D" w:rsidP="00CE0CB4">
      <w:pPr>
        <w:pStyle w:val="Heading3"/>
        <w:spacing w:line="276" w:lineRule="auto"/>
      </w:pPr>
      <w:r w:rsidRPr="00E702B0">
        <w:t xml:space="preserve">Vulnerability to abuse </w:t>
      </w:r>
      <w:r w:rsidR="00765F0C">
        <w:t>-</w:t>
      </w:r>
      <w:r w:rsidRPr="00E702B0">
        <w:t xml:space="preserve"> safeguarding culture </w:t>
      </w:r>
    </w:p>
    <w:p w14:paraId="402B20D3" w14:textId="77E7C068" w:rsidR="0068010D" w:rsidRPr="00CE0CB4" w:rsidRDefault="0068010D" w:rsidP="00CE0CB4">
      <w:pPr>
        <w:spacing w:line="276" w:lineRule="auto"/>
        <w:rPr>
          <w:rFonts w:cs="Arial"/>
          <w:szCs w:val="24"/>
        </w:rPr>
      </w:pPr>
      <w:bookmarkStart w:id="3" w:name="_Hlk103868920"/>
      <w:bookmarkEnd w:id="2"/>
      <w:r w:rsidRPr="00EE4E0C">
        <w:rPr>
          <w:rFonts w:cs="Arial"/>
          <w:szCs w:val="24"/>
        </w:rPr>
        <w:t xml:space="preserve">People who </w:t>
      </w:r>
      <w:r>
        <w:rPr>
          <w:rFonts w:cs="Arial"/>
          <w:szCs w:val="24"/>
        </w:rPr>
        <w:t>draw on care and support</w:t>
      </w:r>
      <w:r w:rsidRPr="00EE4E0C">
        <w:rPr>
          <w:rFonts w:cs="Arial"/>
          <w:szCs w:val="24"/>
        </w:rPr>
        <w:t xml:space="preserve"> can be more vulnerable to abuse than the general population and support staff have a duty of care to keep them safe. There is a strong focus on safeguarding people within social care which can stop people from taking </w:t>
      </w:r>
      <w:r>
        <w:rPr>
          <w:rFonts w:cs="Arial"/>
          <w:szCs w:val="24"/>
        </w:rPr>
        <w:t>‘</w:t>
      </w:r>
      <w:r w:rsidRPr="00EE4E0C">
        <w:rPr>
          <w:rFonts w:cs="Arial"/>
          <w:szCs w:val="24"/>
        </w:rPr>
        <w:t>acceptable risks</w:t>
      </w:r>
      <w:r>
        <w:rPr>
          <w:rFonts w:cs="Arial"/>
          <w:szCs w:val="24"/>
        </w:rPr>
        <w:t>’</w:t>
      </w:r>
      <w:r w:rsidRPr="00EE4E0C">
        <w:rPr>
          <w:rFonts w:cs="Arial"/>
          <w:szCs w:val="24"/>
        </w:rPr>
        <w:t xml:space="preserve"> due to their disability or condition. Research highlights the challenge in striking a balance between supporting people to lead full lives (which involves some risk) and keeping them safe. </w:t>
      </w:r>
    </w:p>
    <w:p w14:paraId="51970323" w14:textId="7231C269" w:rsidR="0068010D" w:rsidRPr="00601965" w:rsidRDefault="00E702B0" w:rsidP="00CE0CB4">
      <w:pPr>
        <w:pStyle w:val="Heading2"/>
        <w:spacing w:line="276" w:lineRule="auto"/>
        <w:rPr>
          <w:rFonts w:cs="Arial"/>
          <w:bCs/>
          <w:sz w:val="28"/>
          <w:szCs w:val="28"/>
        </w:rPr>
      </w:pPr>
      <w:r>
        <w:rPr>
          <w:rFonts w:cs="Arial"/>
          <w:bCs/>
          <w:sz w:val="28"/>
          <w:szCs w:val="28"/>
        </w:rPr>
        <w:br w:type="page"/>
      </w:r>
      <w:r w:rsidR="0068010D" w:rsidRPr="00E702B0">
        <w:lastRenderedPageBreak/>
        <w:t>Societal barriers</w:t>
      </w:r>
    </w:p>
    <w:p w14:paraId="2960304E" w14:textId="576153D4" w:rsidR="0068010D" w:rsidRPr="00600946" w:rsidRDefault="0068010D" w:rsidP="00CE0CB4">
      <w:pPr>
        <w:spacing w:after="0" w:line="276" w:lineRule="auto"/>
        <w:rPr>
          <w:rFonts w:cs="Arial"/>
          <w:b/>
          <w:bCs/>
          <w:szCs w:val="24"/>
        </w:rPr>
      </w:pPr>
    </w:p>
    <w:p w14:paraId="6A29EAF6" w14:textId="50944E40" w:rsidR="0068010D" w:rsidRPr="00E702B0" w:rsidRDefault="0068010D" w:rsidP="00CE0CB4">
      <w:pPr>
        <w:pStyle w:val="Heading3"/>
        <w:spacing w:line="276" w:lineRule="auto"/>
      </w:pPr>
      <w:r w:rsidRPr="00E702B0">
        <w:t>Taboo nature</w:t>
      </w:r>
    </w:p>
    <w:p w14:paraId="6527DC45" w14:textId="10D857C6" w:rsidR="0068010D" w:rsidRDefault="0068010D" w:rsidP="00CE0CB4">
      <w:pPr>
        <w:spacing w:line="276" w:lineRule="auto"/>
        <w:rPr>
          <w:b/>
          <w:bCs/>
        </w:rPr>
      </w:pPr>
      <w:r w:rsidRPr="3CEE293F">
        <w:t xml:space="preserve">Research indicates that sexuality remains a taboo for many people who </w:t>
      </w:r>
      <w:r>
        <w:t>draw on</w:t>
      </w:r>
      <w:r w:rsidRPr="3CEE293F">
        <w:t xml:space="preserve"> care</w:t>
      </w:r>
      <w:r>
        <w:t xml:space="preserve"> and support</w:t>
      </w:r>
      <w:r w:rsidRPr="3CEE293F">
        <w:t xml:space="preserve">. </w:t>
      </w:r>
      <w:r>
        <w:t>P</w:t>
      </w:r>
      <w:r w:rsidRPr="3CEE293F">
        <w:t>eople</w:t>
      </w:r>
      <w:r>
        <w:t xml:space="preserve"> with a disability </w:t>
      </w:r>
      <w:r w:rsidRPr="3CEE293F">
        <w:t xml:space="preserve">are frequently denied an identity as a sexual being, seen as devoid of sexual interest and desires. </w:t>
      </w:r>
      <w:r w:rsidRPr="002E7F67">
        <w:t>There is a perception that older people no longer have a sexual identity or an interest in sexual</w:t>
      </w:r>
      <w:r>
        <w:t xml:space="preserve"> relationships’</w:t>
      </w:r>
      <w:r w:rsidRPr="3CEE293F">
        <w:t>, and they are no longer interested in sex or intimate relationships. Research has found a portion of staff hold such values</w:t>
      </w:r>
      <w:r>
        <w:t xml:space="preserve"> and these</w:t>
      </w:r>
      <w:r w:rsidRPr="3CEE293F">
        <w:t xml:space="preserve"> attitudes are a substantial barrier to relationships. </w:t>
      </w:r>
    </w:p>
    <w:p w14:paraId="453A3B67" w14:textId="2CE5B50F" w:rsidR="0068010D" w:rsidRDefault="0068010D" w:rsidP="00CE0CB4">
      <w:pPr>
        <w:spacing w:after="0" w:line="276" w:lineRule="auto"/>
        <w:rPr>
          <w:rFonts w:cs="Arial"/>
          <w:szCs w:val="24"/>
        </w:rPr>
      </w:pPr>
    </w:p>
    <w:p w14:paraId="6605AD51" w14:textId="3CD84DC4" w:rsidR="0068010D" w:rsidRPr="00E702B0" w:rsidRDefault="0068010D" w:rsidP="00CE0CB4">
      <w:pPr>
        <w:pStyle w:val="Heading3"/>
        <w:spacing w:line="276" w:lineRule="auto"/>
      </w:pPr>
      <w:r w:rsidRPr="00E702B0">
        <w:t>Family restrictions</w:t>
      </w:r>
    </w:p>
    <w:p w14:paraId="02D6E089" w14:textId="08421CF2" w:rsidR="0068010D" w:rsidRDefault="0068010D" w:rsidP="00CE0CB4">
      <w:pPr>
        <w:spacing w:line="276" w:lineRule="auto"/>
        <w:rPr>
          <w:rFonts w:cs="Arial"/>
          <w:szCs w:val="24"/>
        </w:rPr>
      </w:pPr>
      <w:r w:rsidRPr="3CEE293F">
        <w:rPr>
          <w:rFonts w:cs="Arial"/>
          <w:szCs w:val="24"/>
        </w:rPr>
        <w:t>Families</w:t>
      </w:r>
      <w:r w:rsidRPr="3CEE293F">
        <w:rPr>
          <w:rFonts w:cs="Arial"/>
          <w:b/>
          <w:bCs/>
          <w:szCs w:val="24"/>
        </w:rPr>
        <w:t xml:space="preserve"> </w:t>
      </w:r>
      <w:r w:rsidRPr="3CEE293F">
        <w:rPr>
          <w:rFonts w:cs="Arial"/>
          <w:szCs w:val="24"/>
        </w:rPr>
        <w:t>are often cited in research as a barrier to relationships. This is frequently due to fear that their relative will be hurt either physically or emotionally or that they cannot consent to the relationship. Families rarely want to deny their relative the pleasure a close relationship can bring but can have issues if it</w:t>
      </w:r>
      <w:r>
        <w:rPr>
          <w:rFonts w:cs="Arial"/>
          <w:szCs w:val="24"/>
        </w:rPr>
        <w:t>’</w:t>
      </w:r>
      <w:r w:rsidRPr="3CEE293F">
        <w:rPr>
          <w:rFonts w:cs="Arial"/>
          <w:szCs w:val="24"/>
        </w:rPr>
        <w:t xml:space="preserve">s sexual in nature. For some families of older people living with dementia, new relationships can be challenging, especially if a spouse is still alive. </w:t>
      </w:r>
    </w:p>
    <w:p w14:paraId="08708EA9" w14:textId="10CD41C2" w:rsidR="0068010D" w:rsidRDefault="0068010D" w:rsidP="00CE0CB4">
      <w:pPr>
        <w:spacing w:after="0" w:line="276" w:lineRule="auto"/>
        <w:rPr>
          <w:rFonts w:cs="Arial"/>
          <w:b/>
          <w:bCs/>
          <w:szCs w:val="24"/>
        </w:rPr>
      </w:pPr>
    </w:p>
    <w:p w14:paraId="2D605937" w14:textId="77777777" w:rsidR="00CE0CB4" w:rsidRDefault="00CE0CB4" w:rsidP="00CE0CB4">
      <w:pPr>
        <w:spacing w:after="0" w:line="276" w:lineRule="auto"/>
        <w:rPr>
          <w:rFonts w:cs="Arial"/>
          <w:b/>
          <w:bCs/>
          <w:szCs w:val="24"/>
        </w:rPr>
      </w:pPr>
    </w:p>
    <w:p w14:paraId="611DA749" w14:textId="2DBD6555" w:rsidR="0068010D" w:rsidRPr="00E702B0" w:rsidRDefault="0068010D" w:rsidP="00CE0CB4">
      <w:pPr>
        <w:pStyle w:val="Heading2"/>
        <w:spacing w:line="276" w:lineRule="auto"/>
      </w:pPr>
      <w:r w:rsidRPr="00E702B0">
        <w:t>Organisational barriers</w:t>
      </w:r>
    </w:p>
    <w:p w14:paraId="49A78DB3" w14:textId="1F535943" w:rsidR="0068010D" w:rsidRPr="00600946" w:rsidRDefault="0068010D" w:rsidP="00CE0CB4">
      <w:pPr>
        <w:spacing w:after="0" w:line="276" w:lineRule="auto"/>
        <w:rPr>
          <w:rFonts w:cs="Arial"/>
          <w:b/>
          <w:bCs/>
          <w:szCs w:val="24"/>
        </w:rPr>
      </w:pPr>
    </w:p>
    <w:p w14:paraId="3BF3F60D" w14:textId="17B58FCA" w:rsidR="0068010D" w:rsidRPr="00E702B0" w:rsidRDefault="0068010D" w:rsidP="00CE0CB4">
      <w:pPr>
        <w:pStyle w:val="Heading3"/>
        <w:spacing w:line="276" w:lineRule="auto"/>
      </w:pPr>
      <w:r w:rsidRPr="00E702B0">
        <w:t>Restrictive practices</w:t>
      </w:r>
    </w:p>
    <w:p w14:paraId="19332B63" w14:textId="79B12F7A" w:rsidR="0068010D" w:rsidRDefault="0068010D" w:rsidP="00CE0CB4">
      <w:pPr>
        <w:spacing w:line="276" w:lineRule="auto"/>
      </w:pPr>
      <w:r w:rsidRPr="3CEE293F">
        <w:t xml:space="preserve">Research highlights how organisations can place barriers which restrict relationships. Examples include not allowing overnight guests and issuing single beds as standard for adults. </w:t>
      </w:r>
      <w:r>
        <w:t>These</w:t>
      </w:r>
      <w:r w:rsidRPr="3CEE293F">
        <w:t xml:space="preserve"> measures </w:t>
      </w:r>
      <w:r>
        <w:t xml:space="preserve">can </w:t>
      </w:r>
      <w:r w:rsidRPr="3CEE293F">
        <w:t xml:space="preserve">deny people the right to enjoy </w:t>
      </w:r>
      <w:r w:rsidRPr="000C4168">
        <w:t>an intimate relationship free from restriction</w:t>
      </w:r>
      <w:r w:rsidRPr="3CEE293F">
        <w:t xml:space="preserve">. </w:t>
      </w:r>
    </w:p>
    <w:p w14:paraId="5B14468F" w14:textId="45F7E902" w:rsidR="0068010D" w:rsidRPr="00837369" w:rsidRDefault="0068010D" w:rsidP="00CE0CB4">
      <w:pPr>
        <w:spacing w:after="0" w:line="276" w:lineRule="auto"/>
        <w:rPr>
          <w:rFonts w:cs="Arial"/>
          <w:b/>
          <w:bCs/>
          <w:szCs w:val="24"/>
        </w:rPr>
      </w:pPr>
    </w:p>
    <w:p w14:paraId="33E3D4BC" w14:textId="2CC29CED" w:rsidR="0068010D" w:rsidRDefault="0068010D" w:rsidP="00CE0CB4">
      <w:pPr>
        <w:pStyle w:val="Heading3"/>
        <w:spacing w:line="276" w:lineRule="auto"/>
      </w:pPr>
      <w:r w:rsidRPr="00837369">
        <w:t>Lack of staff training and support</w:t>
      </w:r>
    </w:p>
    <w:p w14:paraId="466502A5" w14:textId="7F8867DE" w:rsidR="0068010D" w:rsidRDefault="0068010D" w:rsidP="00CE0CB4">
      <w:pPr>
        <w:spacing w:line="276" w:lineRule="auto"/>
      </w:pPr>
      <w:r w:rsidRPr="3CEE293F">
        <w:t xml:space="preserve">Research demonstrates the complex and challenging situations relating to supporting sexuality that social care staff find themselves in, but they rarely receive training and organisational support to work positively with issues surrounding sexuality. </w:t>
      </w:r>
    </w:p>
    <w:p w14:paraId="2C233F52" w14:textId="037758C2" w:rsidR="0068010D" w:rsidRDefault="0068010D" w:rsidP="00CE0CB4">
      <w:pPr>
        <w:spacing w:line="276" w:lineRule="auto"/>
        <w:rPr>
          <w:rFonts w:cs="Arial"/>
          <w:b/>
          <w:bCs/>
          <w:szCs w:val="24"/>
        </w:rPr>
      </w:pPr>
    </w:p>
    <w:p w14:paraId="21863E12" w14:textId="217E5E26" w:rsidR="00E702B0" w:rsidRDefault="00E702B0" w:rsidP="00CE0CB4">
      <w:pPr>
        <w:spacing w:after="0" w:line="276" w:lineRule="auto"/>
        <w:rPr>
          <w:rFonts w:eastAsiaTheme="majorEastAsia" w:cstheme="majorBidi"/>
          <w:b/>
          <w:color w:val="606060"/>
          <w:sz w:val="40"/>
          <w:szCs w:val="26"/>
        </w:rPr>
      </w:pPr>
      <w:r>
        <w:br w:type="page"/>
      </w:r>
    </w:p>
    <w:p w14:paraId="5F40FC49" w14:textId="39B9A1F0" w:rsidR="0068010D" w:rsidRPr="00B80E5C" w:rsidRDefault="0068010D" w:rsidP="00CE0CB4">
      <w:pPr>
        <w:pStyle w:val="Heading2"/>
        <w:spacing w:line="276" w:lineRule="auto"/>
      </w:pPr>
      <w:r w:rsidRPr="00B80E5C">
        <w:lastRenderedPageBreak/>
        <w:t>Environmental barriers</w:t>
      </w:r>
    </w:p>
    <w:p w14:paraId="5B1B7201" w14:textId="77777777" w:rsidR="0068010D" w:rsidRDefault="0068010D" w:rsidP="00CE0CB4">
      <w:pPr>
        <w:spacing w:after="0" w:line="276" w:lineRule="auto"/>
        <w:rPr>
          <w:rFonts w:cs="Arial"/>
          <w:b/>
          <w:bCs/>
          <w:szCs w:val="24"/>
        </w:rPr>
      </w:pPr>
    </w:p>
    <w:p w14:paraId="46F1895F" w14:textId="77777777" w:rsidR="0068010D" w:rsidRDefault="0068010D" w:rsidP="00CE0CB4">
      <w:pPr>
        <w:pStyle w:val="Heading3"/>
        <w:spacing w:line="276" w:lineRule="auto"/>
      </w:pPr>
      <w:r w:rsidRPr="00837369">
        <w:t>Lack of privacy</w:t>
      </w:r>
    </w:p>
    <w:p w14:paraId="3B2FE8C3" w14:textId="77773E99" w:rsidR="0068010D" w:rsidRDefault="0068010D" w:rsidP="00CE0CB4">
      <w:pPr>
        <w:spacing w:line="276" w:lineRule="auto"/>
      </w:pPr>
      <w:r w:rsidRPr="3CEE293F">
        <w:t xml:space="preserve">Group homes have been cited in research as a barrier to relationships </w:t>
      </w:r>
      <w:r>
        <w:t>due</w:t>
      </w:r>
      <w:r w:rsidRPr="3CEE293F">
        <w:t xml:space="preserve"> to privacy</w:t>
      </w:r>
      <w:r>
        <w:t xml:space="preserve"> - i</w:t>
      </w:r>
      <w:r w:rsidRPr="3CEE293F">
        <w:t xml:space="preserve">t can be challenging to have space to be alone with a partner. Staff have been reported to not knock when entering bedrooms and in some instances people report not </w:t>
      </w:r>
      <w:r>
        <w:t xml:space="preserve">being </w:t>
      </w:r>
      <w:r w:rsidRPr="3CEE293F">
        <w:t>allowed alone in their rooms with partners, especially with the door shut. However, particularly for older people in larger group homes, care homes can be a place to meet new partners.</w:t>
      </w:r>
    </w:p>
    <w:p w14:paraId="38016638" w14:textId="644B4D1F" w:rsidR="0068010D" w:rsidRDefault="0068010D" w:rsidP="00CE0CB4">
      <w:pPr>
        <w:spacing w:after="0" w:line="276" w:lineRule="auto"/>
      </w:pPr>
      <w:r w:rsidRPr="00837369">
        <w:br/>
      </w:r>
      <w:bookmarkEnd w:id="1"/>
      <w:bookmarkEnd w:id="3"/>
      <w:r w:rsidRPr="00E702B0">
        <w:rPr>
          <w:rStyle w:val="Heading3Char"/>
        </w:rPr>
        <w:t>Values driving positive sexual expression</w:t>
      </w:r>
      <w:r>
        <w:rPr>
          <w:b/>
          <w:bCs/>
        </w:rPr>
        <w:br/>
      </w:r>
      <w:r w:rsidRPr="00EE4E0C">
        <w:t>Values are central to work in social care and are equally significant in thinking about sex and relationships. They are the principles that guide workers to understand right from wrong and are about what is important whe</w:t>
      </w:r>
      <w:r>
        <w:t>n</w:t>
      </w:r>
      <w:r w:rsidRPr="00EE4E0C">
        <w:t xml:space="preserve"> supporting individuals.</w:t>
      </w:r>
    </w:p>
    <w:p w14:paraId="5C08025A" w14:textId="77777777" w:rsidR="00765F0C" w:rsidRPr="00EE4E0C" w:rsidRDefault="00765F0C" w:rsidP="00CE0CB4">
      <w:pPr>
        <w:spacing w:after="0" w:line="276" w:lineRule="auto"/>
      </w:pPr>
    </w:p>
    <w:p w14:paraId="28BB42F8" w14:textId="3A3154A2" w:rsidR="0068010D" w:rsidRDefault="0068010D" w:rsidP="00CE0CB4">
      <w:pPr>
        <w:spacing w:after="0" w:line="276" w:lineRule="auto"/>
      </w:pPr>
      <w:r w:rsidRPr="00EE4E0C">
        <w:t>Your personal values (what you believe in) and attitudes (how you think and feel about things) are developed through life experiences, including education, culture, religion, family and relationships. Acknowledging and understanding your unique values is an important aspect of being a responsive, reflective practitioner.</w:t>
      </w:r>
    </w:p>
    <w:p w14:paraId="1188933D" w14:textId="77777777" w:rsidR="00765F0C" w:rsidRPr="00EE4E0C" w:rsidRDefault="00765F0C" w:rsidP="00CE0CB4">
      <w:pPr>
        <w:spacing w:after="0" w:line="276" w:lineRule="auto"/>
      </w:pPr>
    </w:p>
    <w:p w14:paraId="3304E8A7" w14:textId="77777777" w:rsidR="0068010D" w:rsidRDefault="0068010D" w:rsidP="00CE0CB4">
      <w:pPr>
        <w:spacing w:line="276" w:lineRule="auto"/>
      </w:pPr>
      <w:r w:rsidRPr="00EE4E0C">
        <w:t>Some people that you support may need assistance to develop and/or maintain intimate relationships and to express their sexuality. It</w:t>
      </w:r>
      <w:r>
        <w:t xml:space="preserve">’s vital </w:t>
      </w:r>
      <w:r w:rsidRPr="00EE4E0C">
        <w:t xml:space="preserve">that staff have the correct values to support people respectfully in a way that recognises their human right to love, intimacy and sexual expression. Staff need to be accepting, non-judgemental and open-minded surrounding sexuality and intimate relationships. A failure to hold these values places people at risk of prejudice and being denied their rights to have positive relationships and a fulfilling sex life, if this is what they want. </w:t>
      </w:r>
    </w:p>
    <w:p w14:paraId="046EDA64" w14:textId="77777777" w:rsidR="007E0C77" w:rsidRDefault="007E0C77" w:rsidP="00CE0CB4">
      <w:pPr>
        <w:spacing w:line="276" w:lineRule="auto"/>
      </w:pPr>
    </w:p>
    <w:sectPr w:rsidR="007E0C77" w:rsidSect="00BC7895">
      <w:footerReference w:type="even"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BA5D6" w14:textId="77777777" w:rsidR="009D315D" w:rsidRDefault="009D315D" w:rsidP="00BC7895">
      <w:pPr>
        <w:spacing w:after="0" w:line="240" w:lineRule="auto"/>
      </w:pPr>
      <w:r>
        <w:separator/>
      </w:r>
    </w:p>
  </w:endnote>
  <w:endnote w:type="continuationSeparator" w:id="0">
    <w:p w14:paraId="3741552A" w14:textId="77777777" w:rsidR="009D315D" w:rsidRDefault="009D315D"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3486A" w14:textId="77777777" w:rsidR="009D315D" w:rsidRDefault="009D315D" w:rsidP="00BC7895">
      <w:pPr>
        <w:spacing w:after="0" w:line="240" w:lineRule="auto"/>
      </w:pPr>
      <w:r>
        <w:separator/>
      </w:r>
    </w:p>
  </w:footnote>
  <w:footnote w:type="continuationSeparator" w:id="0">
    <w:p w14:paraId="5D73DCDA" w14:textId="77777777" w:rsidR="009D315D" w:rsidRDefault="009D315D"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FE96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3E70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FA11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20A7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F65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8EED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E1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CCAD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4AD7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5066F8"/>
    <w:lvl w:ilvl="0">
      <w:start w:val="1"/>
      <w:numFmt w:val="bullet"/>
      <w:lvlText w:val=""/>
      <w:lvlJc w:val="left"/>
      <w:pPr>
        <w:tabs>
          <w:tab w:val="num" w:pos="360"/>
        </w:tabs>
        <w:ind w:left="360" w:hanging="360"/>
      </w:pPr>
      <w:rPr>
        <w:rFonts w:ascii="Symbol" w:hAnsi="Symbol"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601965"/>
    <w:rsid w:val="0068010D"/>
    <w:rsid w:val="00726F33"/>
    <w:rsid w:val="00765F0C"/>
    <w:rsid w:val="007E0C77"/>
    <w:rsid w:val="009D315D"/>
    <w:rsid w:val="00A4202C"/>
    <w:rsid w:val="00A72510"/>
    <w:rsid w:val="00AA23E0"/>
    <w:rsid w:val="00B86141"/>
    <w:rsid w:val="00B9418A"/>
    <w:rsid w:val="00BC14C0"/>
    <w:rsid w:val="00BC7895"/>
    <w:rsid w:val="00CE0CB4"/>
    <w:rsid w:val="00E33D46"/>
    <w:rsid w:val="00E70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Edward Hopkins</cp:lastModifiedBy>
  <cp:revision>6</cp:revision>
  <dcterms:created xsi:type="dcterms:W3CDTF">2022-12-19T11:48:00Z</dcterms:created>
  <dcterms:modified xsi:type="dcterms:W3CDTF">2023-03-22T10:51:00Z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